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D9F8" w14:textId="77777777" w:rsidR="00756242" w:rsidRDefault="00E26343" w:rsidP="00756242">
      <w:pPr>
        <w:pStyle w:val="Default"/>
        <w:rPr>
          <w:rFonts w:ascii="Garamond" w:hAnsi="Garamond"/>
        </w:rPr>
      </w:pPr>
      <w:r>
        <w:rPr>
          <w:rFonts w:ascii="Garamond" w:hAnsi="Garamond"/>
        </w:rPr>
        <w:t xml:space="preserve">Treatment Consultation </w:t>
      </w:r>
      <w:r w:rsidR="00756242" w:rsidRPr="00160C77">
        <w:rPr>
          <w:rFonts w:ascii="Garamond" w:hAnsi="Garamond"/>
        </w:rPr>
        <w:t>Outline</w:t>
      </w:r>
    </w:p>
    <w:p w14:paraId="5687ACA6" w14:textId="77777777" w:rsidR="00A97D33" w:rsidRPr="00160C77" w:rsidRDefault="00A97D33" w:rsidP="00756242">
      <w:pPr>
        <w:pStyle w:val="Default"/>
        <w:rPr>
          <w:rFonts w:ascii="Garamond" w:hAnsi="Garamond"/>
        </w:rPr>
      </w:pPr>
      <w:r>
        <w:rPr>
          <w:rFonts w:ascii="Garamond" w:hAnsi="Garamond"/>
        </w:rPr>
        <w:t>For use by all students in doctoral consultation</w:t>
      </w:r>
    </w:p>
    <w:p w14:paraId="2DF746EE" w14:textId="77777777" w:rsidR="00756242" w:rsidRPr="00160C77" w:rsidRDefault="00756242" w:rsidP="00756242">
      <w:pPr>
        <w:pStyle w:val="Default"/>
        <w:rPr>
          <w:rFonts w:ascii="Garamond" w:hAnsi="Garamond"/>
        </w:rPr>
      </w:pPr>
    </w:p>
    <w:p w14:paraId="0268DE26" w14:textId="77777777" w:rsidR="00756242" w:rsidRPr="00160C77" w:rsidRDefault="00756242" w:rsidP="00756242">
      <w:pPr>
        <w:pStyle w:val="Default"/>
        <w:rPr>
          <w:rFonts w:ascii="Garamond" w:hAnsi="Garamond"/>
        </w:rPr>
      </w:pPr>
      <w:r w:rsidRPr="00160C77">
        <w:rPr>
          <w:rFonts w:ascii="Garamond" w:hAnsi="Garamond"/>
        </w:rPr>
        <w:t xml:space="preserve"> </w:t>
      </w:r>
    </w:p>
    <w:p w14:paraId="0C1F0870" w14:textId="77777777" w:rsidR="00756242" w:rsidRPr="00160C77" w:rsidRDefault="00E26343" w:rsidP="00756242">
      <w:pPr>
        <w:pStyle w:val="Default"/>
        <w:rPr>
          <w:rFonts w:ascii="Garamond" w:hAnsi="Garamond"/>
        </w:rPr>
      </w:pPr>
      <w:r>
        <w:rPr>
          <w:rFonts w:ascii="Garamond" w:hAnsi="Garamond"/>
          <w:b/>
          <w:bCs/>
        </w:rPr>
        <w:t>Treatment Consultation Outline</w:t>
      </w:r>
      <w:r w:rsidR="00756242" w:rsidRPr="00160C77">
        <w:rPr>
          <w:rFonts w:ascii="Garamond" w:hAnsi="Garamond"/>
          <w:b/>
          <w:bCs/>
        </w:rPr>
        <w:t xml:space="preserve"> - DP </w:t>
      </w:r>
    </w:p>
    <w:p w14:paraId="1D935FBF" w14:textId="77777777" w:rsidR="00D75476" w:rsidRDefault="00756242" w:rsidP="00756242">
      <w:pPr>
        <w:pStyle w:val="Default"/>
        <w:rPr>
          <w:rFonts w:ascii="Garamond" w:hAnsi="Garamond" w:cs="Calibri"/>
        </w:rPr>
      </w:pPr>
      <w:r w:rsidRPr="00160C77">
        <w:rPr>
          <w:rFonts w:ascii="Garamond" w:hAnsi="Garamond" w:cs="Calibri"/>
        </w:rPr>
        <w:t xml:space="preserve">The following is </w:t>
      </w:r>
      <w:r w:rsidR="00FB0BD4">
        <w:rPr>
          <w:rFonts w:ascii="Garamond" w:hAnsi="Garamond" w:cs="Calibri"/>
        </w:rPr>
        <w:t>the</w:t>
      </w:r>
      <w:r w:rsidRPr="00160C77">
        <w:rPr>
          <w:rFonts w:ascii="Garamond" w:hAnsi="Garamond" w:cs="Calibri"/>
        </w:rPr>
        <w:t xml:space="preserve"> outline for the ICSW </w:t>
      </w:r>
      <w:r w:rsidR="00E26343">
        <w:rPr>
          <w:rFonts w:ascii="Garamond" w:hAnsi="Garamond" w:cs="Calibri"/>
        </w:rPr>
        <w:t>Treatment Consultation</w:t>
      </w:r>
      <w:r w:rsidR="00D75476">
        <w:rPr>
          <w:rFonts w:ascii="Garamond" w:hAnsi="Garamond" w:cs="Calibri"/>
        </w:rPr>
        <w:t xml:space="preserve"> write-up. </w:t>
      </w:r>
    </w:p>
    <w:p w14:paraId="39CCEF8E" w14:textId="77777777" w:rsidR="00756242" w:rsidRDefault="00D75476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The write-up </w:t>
      </w:r>
      <w:r w:rsidR="00756242" w:rsidRPr="00160C77">
        <w:rPr>
          <w:rFonts w:ascii="Garamond" w:hAnsi="Garamond" w:cs="Calibri"/>
        </w:rPr>
        <w:t xml:space="preserve">should </w:t>
      </w:r>
      <w:r w:rsidR="003F20C1">
        <w:rPr>
          <w:rFonts w:ascii="Garamond" w:hAnsi="Garamond" w:cs="Calibri"/>
        </w:rPr>
        <w:t>not exceed</w:t>
      </w:r>
      <w:r w:rsidR="002954A4">
        <w:rPr>
          <w:rFonts w:ascii="Garamond" w:hAnsi="Garamond" w:cs="Calibri"/>
        </w:rPr>
        <w:t xml:space="preserve"> </w:t>
      </w:r>
      <w:r w:rsidR="00690583">
        <w:rPr>
          <w:rFonts w:ascii="Garamond" w:hAnsi="Garamond" w:cs="Calibri"/>
        </w:rPr>
        <w:t>15</w:t>
      </w:r>
      <w:r w:rsidR="00756242" w:rsidRPr="00160C77">
        <w:rPr>
          <w:rFonts w:ascii="Garamond" w:hAnsi="Garamond" w:cs="Calibri"/>
        </w:rPr>
        <w:t xml:space="preserve"> pages. </w:t>
      </w:r>
    </w:p>
    <w:p w14:paraId="060EE8A1" w14:textId="77777777" w:rsidR="003F20C1" w:rsidRPr="00E26343" w:rsidRDefault="003F20C1" w:rsidP="00756242">
      <w:pPr>
        <w:pStyle w:val="Default"/>
        <w:spacing w:after="58"/>
        <w:rPr>
          <w:rFonts w:ascii="Garamond" w:hAnsi="Garamond" w:cs="Calibri"/>
          <w:b/>
          <w:bCs/>
        </w:rPr>
      </w:pPr>
    </w:p>
    <w:p w14:paraId="04FF0F9B" w14:textId="77777777" w:rsidR="00756242" w:rsidRPr="00084D51" w:rsidRDefault="00E26343" w:rsidP="00756242">
      <w:pPr>
        <w:pStyle w:val="Default"/>
        <w:rPr>
          <w:rFonts w:ascii="Garamond" w:hAnsi="Garamond" w:cs="Calibri"/>
          <w:b/>
        </w:rPr>
      </w:pPr>
      <w:r>
        <w:rPr>
          <w:rFonts w:ascii="Garamond" w:hAnsi="Garamond" w:cs="Calibri"/>
          <w:b/>
        </w:rPr>
        <w:t>1</w:t>
      </w:r>
      <w:r w:rsidR="00756242" w:rsidRPr="00084D51">
        <w:rPr>
          <w:rFonts w:ascii="Garamond" w:hAnsi="Garamond" w:cs="Calibri"/>
          <w:b/>
        </w:rPr>
        <w:t xml:space="preserve">. </w:t>
      </w:r>
      <w:r w:rsidR="00756242" w:rsidRPr="00084D51">
        <w:rPr>
          <w:rFonts w:ascii="Garamond" w:hAnsi="Garamond" w:cs="Calibri"/>
          <w:b/>
          <w:bCs/>
        </w:rPr>
        <w:t>Identifying information</w:t>
      </w:r>
      <w:r w:rsidR="00756242" w:rsidRPr="00084D51">
        <w:rPr>
          <w:rFonts w:ascii="Garamond" w:hAnsi="Garamond" w:cs="Calibri"/>
          <w:b/>
        </w:rPr>
        <w:t xml:space="preserve">: </w:t>
      </w:r>
    </w:p>
    <w:p w14:paraId="480659BE" w14:textId="77777777" w:rsidR="00756242" w:rsidRPr="00160C77" w:rsidRDefault="00E26343" w:rsidP="00756242">
      <w:pPr>
        <w:pStyle w:val="Default"/>
        <w:spacing w:after="58"/>
        <w:rPr>
          <w:rFonts w:ascii="Garamond" w:hAnsi="Garamond" w:cs="Calibri"/>
        </w:rPr>
      </w:pPr>
      <w:r>
        <w:rPr>
          <w:rFonts w:ascii="Garamond" w:hAnsi="Garamond" w:cs="Calibri"/>
          <w:b/>
          <w:bCs/>
        </w:rPr>
        <w:t>2</w:t>
      </w:r>
      <w:r w:rsidR="00756242" w:rsidRPr="00160C77">
        <w:rPr>
          <w:rFonts w:ascii="Garamond" w:hAnsi="Garamond" w:cs="Calibri"/>
          <w:b/>
          <w:bCs/>
        </w:rPr>
        <w:t>. Background/</w:t>
      </w:r>
      <w:r w:rsidR="003F20C1">
        <w:rPr>
          <w:rFonts w:ascii="Garamond" w:hAnsi="Garamond" w:cs="Calibri"/>
          <w:b/>
          <w:bCs/>
        </w:rPr>
        <w:t>reason for request of treatment</w:t>
      </w:r>
      <w:r w:rsidR="00756242" w:rsidRPr="00160C77">
        <w:rPr>
          <w:rFonts w:ascii="Garamond" w:hAnsi="Garamond" w:cs="Calibri"/>
          <w:b/>
          <w:bCs/>
        </w:rPr>
        <w:t xml:space="preserve"> </w:t>
      </w:r>
      <w:r w:rsidR="003F20C1" w:rsidRPr="003F20C1">
        <w:rPr>
          <w:rFonts w:ascii="Garamond" w:hAnsi="Garamond" w:cs="Calibri"/>
          <w:bCs/>
        </w:rPr>
        <w:t>(include history of previous treatment)</w:t>
      </w:r>
    </w:p>
    <w:p w14:paraId="36AD9CD9" w14:textId="77777777" w:rsidR="003F20C1" w:rsidRDefault="00E26343" w:rsidP="00756242">
      <w:pPr>
        <w:pStyle w:val="Default"/>
        <w:spacing w:after="58"/>
        <w:rPr>
          <w:rFonts w:ascii="Garamond" w:hAnsi="Garamond" w:cs="Calibri"/>
          <w:b/>
          <w:bCs/>
        </w:rPr>
      </w:pPr>
      <w:r>
        <w:rPr>
          <w:rFonts w:ascii="Garamond" w:hAnsi="Garamond" w:cs="Calibri"/>
          <w:b/>
          <w:bCs/>
        </w:rPr>
        <w:t>3</w:t>
      </w:r>
      <w:r w:rsidR="003F20C1">
        <w:rPr>
          <w:rFonts w:ascii="Garamond" w:hAnsi="Garamond" w:cs="Calibri"/>
          <w:b/>
          <w:bCs/>
        </w:rPr>
        <w:t>. History of presenting problem</w:t>
      </w:r>
    </w:p>
    <w:p w14:paraId="3D670DF8" w14:textId="77777777" w:rsidR="00756242" w:rsidRPr="00160C77" w:rsidRDefault="00E26343" w:rsidP="00756242">
      <w:pPr>
        <w:pStyle w:val="Default"/>
        <w:spacing w:after="58"/>
        <w:rPr>
          <w:rFonts w:ascii="Garamond" w:hAnsi="Garamond" w:cs="Calibri"/>
        </w:rPr>
      </w:pPr>
      <w:r>
        <w:rPr>
          <w:rFonts w:ascii="Garamond" w:hAnsi="Garamond" w:cs="Calibri"/>
          <w:b/>
          <w:bCs/>
        </w:rPr>
        <w:t>4</w:t>
      </w:r>
      <w:r w:rsidR="00756242" w:rsidRPr="00160C77">
        <w:rPr>
          <w:rFonts w:ascii="Garamond" w:hAnsi="Garamond" w:cs="Calibri"/>
          <w:b/>
          <w:bCs/>
        </w:rPr>
        <w:t xml:space="preserve">. Relevant personal/family history </w:t>
      </w:r>
    </w:p>
    <w:p w14:paraId="358FB478" w14:textId="77777777" w:rsidR="00756242" w:rsidRPr="00160C77" w:rsidRDefault="00E26343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  <w:b/>
        </w:rPr>
        <w:t>5</w:t>
      </w:r>
      <w:r w:rsidR="00756242" w:rsidRPr="00586C7A">
        <w:rPr>
          <w:rFonts w:ascii="Garamond" w:hAnsi="Garamond" w:cs="Calibri"/>
          <w:b/>
        </w:rPr>
        <w:t>.</w:t>
      </w:r>
      <w:r w:rsidR="00756242" w:rsidRPr="00160C77">
        <w:rPr>
          <w:rFonts w:ascii="Garamond" w:hAnsi="Garamond" w:cs="Calibri"/>
        </w:rPr>
        <w:t xml:space="preserve"> </w:t>
      </w:r>
      <w:r w:rsidR="00756242" w:rsidRPr="00160C77">
        <w:rPr>
          <w:rFonts w:ascii="Garamond" w:hAnsi="Garamond" w:cs="Calibri"/>
          <w:b/>
          <w:bCs/>
        </w:rPr>
        <w:t>Discussion of Treatment Process</w:t>
      </w:r>
      <w:r w:rsidR="00756242" w:rsidRPr="00160C77">
        <w:rPr>
          <w:rFonts w:ascii="Garamond" w:hAnsi="Garamond" w:cs="Calibri"/>
        </w:rPr>
        <w:t xml:space="preserve">: </w:t>
      </w:r>
    </w:p>
    <w:p w14:paraId="650B1D1C" w14:textId="77777777" w:rsidR="004E2FA8" w:rsidRPr="004E2FA8" w:rsidRDefault="00756242" w:rsidP="00756242">
      <w:pPr>
        <w:pStyle w:val="Default"/>
        <w:rPr>
          <w:rFonts w:ascii="Garamond" w:hAnsi="Garamond" w:cs="Calibri"/>
        </w:rPr>
      </w:pPr>
      <w:r w:rsidRPr="00160C77">
        <w:rPr>
          <w:rFonts w:ascii="Garamond" w:hAnsi="Garamond" w:cs="Calibri"/>
        </w:rPr>
        <w:t xml:space="preserve">a. </w:t>
      </w:r>
      <w:r w:rsidR="004E2FA8">
        <w:rPr>
          <w:rFonts w:ascii="Garamond" w:hAnsi="Garamond" w:cs="Calibri"/>
        </w:rPr>
        <w:t>describe</w:t>
      </w:r>
      <w:r w:rsidRPr="00160C77">
        <w:rPr>
          <w:rFonts w:ascii="Garamond" w:hAnsi="Garamond" w:cs="Calibri"/>
        </w:rPr>
        <w:t xml:space="preserve"> the major issues that have emerged in the treatment; discuss impasse</w:t>
      </w:r>
      <w:r w:rsidR="004E2FA8">
        <w:rPr>
          <w:rFonts w:ascii="Garamond" w:hAnsi="Garamond" w:cs="Calibri"/>
        </w:rPr>
        <w:t xml:space="preserve">s and how they were </w:t>
      </w:r>
      <w:r w:rsidR="004E2FA8" w:rsidRPr="004E2FA8">
        <w:rPr>
          <w:rFonts w:ascii="Garamond" w:hAnsi="Garamond" w:cs="Calibri"/>
        </w:rPr>
        <w:t>dealt with;</w:t>
      </w:r>
      <w:r w:rsidR="004E2FA8" w:rsidRPr="004E2FA8">
        <w:rPr>
          <w:rFonts w:ascii="Garamond" w:hAnsi="Garamond"/>
        </w:rPr>
        <w:t xml:space="preserve"> include observable positive and negative changes in client functioning as a client in treatment</w:t>
      </w:r>
    </w:p>
    <w:p w14:paraId="766899E1" w14:textId="77777777" w:rsidR="004E2FA8" w:rsidRDefault="004E2FA8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 xml:space="preserve">b. </w:t>
      </w:r>
      <w:proofErr w:type="gramStart"/>
      <w:r>
        <w:rPr>
          <w:rFonts w:ascii="Garamond" w:hAnsi="Garamond" w:cs="Calibri"/>
        </w:rPr>
        <w:t>discuss</w:t>
      </w:r>
      <w:proofErr w:type="gramEnd"/>
      <w:r>
        <w:rPr>
          <w:rFonts w:ascii="Garamond" w:hAnsi="Garamond" w:cs="Calibri"/>
        </w:rPr>
        <w:t xml:space="preserve"> specifically the unfolding of the transferential and </w:t>
      </w:r>
      <w:proofErr w:type="spellStart"/>
      <w:r>
        <w:rPr>
          <w:rFonts w:ascii="Garamond" w:hAnsi="Garamond" w:cs="Calibri"/>
        </w:rPr>
        <w:t>countertransferenti</w:t>
      </w:r>
      <w:r w:rsidR="00042357">
        <w:rPr>
          <w:rFonts w:ascii="Garamond" w:hAnsi="Garamond" w:cs="Calibri"/>
        </w:rPr>
        <w:t>al</w:t>
      </w:r>
      <w:proofErr w:type="spellEnd"/>
      <w:r w:rsidR="00042357">
        <w:rPr>
          <w:rFonts w:ascii="Garamond" w:hAnsi="Garamond" w:cs="Calibri"/>
        </w:rPr>
        <w:t xml:space="preserve"> dimensions of the treatment </w:t>
      </w:r>
    </w:p>
    <w:p w14:paraId="25E43D5C" w14:textId="77777777" w:rsidR="00756242" w:rsidRDefault="004E2FA8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>c. i</w:t>
      </w:r>
      <w:r w:rsidR="00756242" w:rsidRPr="00160C77">
        <w:rPr>
          <w:rFonts w:ascii="Garamond" w:hAnsi="Garamond" w:cs="Calibri"/>
        </w:rPr>
        <w:t xml:space="preserve">f the case has terminated, discuss that process; if not, </w:t>
      </w:r>
      <w:r>
        <w:rPr>
          <w:rFonts w:ascii="Garamond" w:hAnsi="Garamond" w:cs="Calibri"/>
        </w:rPr>
        <w:t>describe any</w:t>
      </w:r>
      <w:r w:rsidR="00756242" w:rsidRPr="00160C77">
        <w:rPr>
          <w:rFonts w:ascii="Garamond" w:hAnsi="Garamond" w:cs="Calibri"/>
        </w:rPr>
        <w:t xml:space="preserve"> continuin</w:t>
      </w:r>
      <w:r>
        <w:rPr>
          <w:rFonts w:ascii="Garamond" w:hAnsi="Garamond" w:cs="Calibri"/>
        </w:rPr>
        <w:t>g issues</w:t>
      </w:r>
      <w:r w:rsidR="00756242" w:rsidRPr="00160C77">
        <w:rPr>
          <w:rFonts w:ascii="Garamond" w:hAnsi="Garamond" w:cs="Calibri"/>
        </w:rPr>
        <w:t xml:space="preserve"> </w:t>
      </w:r>
    </w:p>
    <w:p w14:paraId="4012A633" w14:textId="77777777" w:rsidR="004B4ACD" w:rsidRDefault="00E26343" w:rsidP="004B4ACD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  <w:b/>
        </w:rPr>
        <w:t>6</w:t>
      </w:r>
      <w:r w:rsidR="004B4ACD" w:rsidRPr="00586C7A">
        <w:rPr>
          <w:rFonts w:ascii="Garamond" w:hAnsi="Garamond" w:cs="Calibri"/>
          <w:b/>
        </w:rPr>
        <w:t>.</w:t>
      </w:r>
      <w:r w:rsidR="004B4ACD" w:rsidRPr="00160C77">
        <w:rPr>
          <w:rFonts w:ascii="Garamond" w:hAnsi="Garamond" w:cs="Calibri"/>
        </w:rPr>
        <w:t xml:space="preserve"> </w:t>
      </w:r>
      <w:r w:rsidR="004B4ACD" w:rsidRPr="00160C77">
        <w:rPr>
          <w:rFonts w:ascii="Garamond" w:hAnsi="Garamond" w:cs="Calibri"/>
          <w:b/>
          <w:bCs/>
        </w:rPr>
        <w:t>Psychodynamic formulation</w:t>
      </w:r>
      <w:r w:rsidR="004B4ACD">
        <w:rPr>
          <w:rFonts w:ascii="Garamond" w:hAnsi="Garamond" w:cs="Calibri"/>
          <w:b/>
          <w:bCs/>
        </w:rPr>
        <w:t xml:space="preserve"> of treatment process</w:t>
      </w:r>
      <w:r w:rsidR="004B4ACD" w:rsidRPr="00160C77">
        <w:rPr>
          <w:rFonts w:ascii="Garamond" w:hAnsi="Garamond" w:cs="Calibri"/>
        </w:rPr>
        <w:t xml:space="preserve">: </w:t>
      </w:r>
    </w:p>
    <w:p w14:paraId="267EB9B6" w14:textId="77777777" w:rsidR="00042357" w:rsidRPr="00160C77" w:rsidRDefault="00042357" w:rsidP="004B4ACD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>a. Tie together core anxiety(s), defensive/coping mechanisms, relation of these to relevant history, and how the resulting character is represented in transference and countertransference themes.</w:t>
      </w:r>
    </w:p>
    <w:p w14:paraId="66A74405" w14:textId="77777777" w:rsidR="004B4ACD" w:rsidRDefault="00042357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>b</w:t>
      </w:r>
      <w:r w:rsidR="004B4ACD" w:rsidRPr="00160C77">
        <w:rPr>
          <w:rFonts w:ascii="Garamond" w:hAnsi="Garamond" w:cs="Calibri"/>
        </w:rPr>
        <w:t xml:space="preserve">. </w:t>
      </w:r>
      <w:r w:rsidR="004B4ACD">
        <w:rPr>
          <w:rFonts w:ascii="Garamond" w:hAnsi="Garamond" w:cs="Calibri"/>
        </w:rPr>
        <w:t xml:space="preserve">Discuss the </w:t>
      </w:r>
      <w:r>
        <w:rPr>
          <w:rFonts w:ascii="Garamond" w:hAnsi="Garamond" w:cs="Calibri"/>
        </w:rPr>
        <w:t>ways in which the above (a)</w:t>
      </w:r>
      <w:r w:rsidR="00A8675B">
        <w:rPr>
          <w:rFonts w:ascii="Garamond" w:hAnsi="Garamond" w:cs="Calibri"/>
        </w:rPr>
        <w:t xml:space="preserve"> </w:t>
      </w:r>
      <w:r>
        <w:rPr>
          <w:rFonts w:ascii="Garamond" w:hAnsi="Garamond" w:cs="Calibri"/>
        </w:rPr>
        <w:t xml:space="preserve">play out in the </w:t>
      </w:r>
      <w:r w:rsidR="004B4ACD">
        <w:rPr>
          <w:rFonts w:ascii="Garamond" w:hAnsi="Garamond" w:cs="Calibri"/>
        </w:rPr>
        <w:t>thera</w:t>
      </w:r>
      <w:r>
        <w:rPr>
          <w:rFonts w:ascii="Garamond" w:hAnsi="Garamond" w:cs="Calibri"/>
        </w:rPr>
        <w:t>peutic process</w:t>
      </w:r>
      <w:r w:rsidR="004B4ACD">
        <w:rPr>
          <w:rFonts w:ascii="Garamond" w:hAnsi="Garamond" w:cs="Calibri"/>
        </w:rPr>
        <w:t xml:space="preserve"> using transference and countertransference themes as foundational and organizing data.  It is not necessary (or advised) to organize the analysis of the process around a singular psychodynamic theory.  It is mo</w:t>
      </w:r>
      <w:r w:rsidR="00E26343">
        <w:rPr>
          <w:rFonts w:ascii="Garamond" w:hAnsi="Garamond" w:cs="Calibri"/>
        </w:rPr>
        <w:t xml:space="preserve">re critical that psychodynamic </w:t>
      </w:r>
      <w:r w:rsidR="004B4ACD">
        <w:rPr>
          <w:rFonts w:ascii="Garamond" w:hAnsi="Garamond" w:cs="Calibri"/>
        </w:rPr>
        <w:t>thinking be used organically, thoughtfully, and in an integrated way.</w:t>
      </w:r>
      <w:r w:rsidR="004B4ACD" w:rsidRPr="00160C77">
        <w:rPr>
          <w:rFonts w:ascii="Garamond" w:hAnsi="Garamond" w:cs="Calibri"/>
        </w:rPr>
        <w:t xml:space="preserve"> </w:t>
      </w:r>
    </w:p>
    <w:p w14:paraId="39E969E7" w14:textId="77777777" w:rsidR="005A56EA" w:rsidRPr="00160C77" w:rsidRDefault="00E26343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</w:rPr>
        <w:t>b.</w:t>
      </w:r>
      <w:r w:rsidR="005A56EA">
        <w:rPr>
          <w:rFonts w:ascii="Garamond" w:hAnsi="Garamond" w:cs="Calibri"/>
        </w:rPr>
        <w:t xml:space="preserve"> Discuss why these </w:t>
      </w:r>
      <w:proofErr w:type="gramStart"/>
      <w:r w:rsidR="005A56EA">
        <w:rPr>
          <w:rFonts w:ascii="Garamond" w:hAnsi="Garamond" w:cs="Calibri"/>
        </w:rPr>
        <w:t>particular psychodynamic</w:t>
      </w:r>
      <w:proofErr w:type="gramEnd"/>
      <w:r w:rsidR="005A56EA">
        <w:rPr>
          <w:rFonts w:ascii="Garamond" w:hAnsi="Garamond" w:cs="Calibri"/>
        </w:rPr>
        <w:t xml:space="preserve"> ideas were chosen. </w:t>
      </w:r>
    </w:p>
    <w:p w14:paraId="4A90A6F2" w14:textId="5C594030" w:rsidR="00756242" w:rsidRPr="00160C77" w:rsidRDefault="00313A25" w:rsidP="00756242">
      <w:pPr>
        <w:pStyle w:val="Default"/>
        <w:rPr>
          <w:rFonts w:ascii="Garamond" w:hAnsi="Garamond" w:cs="Calibri"/>
        </w:rPr>
      </w:pPr>
      <w:r>
        <w:rPr>
          <w:rFonts w:ascii="Garamond" w:hAnsi="Garamond" w:cs="Calibri"/>
          <w:b/>
        </w:rPr>
        <w:t>7</w:t>
      </w:r>
      <w:r w:rsidR="00756242" w:rsidRPr="00586C7A">
        <w:rPr>
          <w:rFonts w:ascii="Garamond" w:hAnsi="Garamond" w:cs="Calibri"/>
          <w:b/>
        </w:rPr>
        <w:t>.</w:t>
      </w:r>
      <w:r w:rsidR="00756242" w:rsidRPr="00160C77">
        <w:rPr>
          <w:rFonts w:ascii="Garamond" w:hAnsi="Garamond" w:cs="Calibri"/>
        </w:rPr>
        <w:t xml:space="preserve"> </w:t>
      </w:r>
      <w:r w:rsidR="00F051F0">
        <w:rPr>
          <w:rFonts w:ascii="Garamond" w:hAnsi="Garamond" w:cs="Calibri"/>
          <w:b/>
          <w:bCs/>
        </w:rPr>
        <w:t>Describe what was learned from this clinical process and consultation</w:t>
      </w:r>
      <w:r w:rsidR="00756242" w:rsidRPr="00160C77">
        <w:rPr>
          <w:rFonts w:ascii="Garamond" w:hAnsi="Garamond" w:cs="Calibri"/>
        </w:rPr>
        <w:t xml:space="preserve"> </w:t>
      </w:r>
    </w:p>
    <w:p w14:paraId="2A617E90" w14:textId="77777777" w:rsidR="004E2FA8" w:rsidRPr="004E2FA8" w:rsidRDefault="004E2FA8" w:rsidP="00756242">
      <w:pPr>
        <w:pStyle w:val="Default"/>
        <w:spacing w:after="61"/>
        <w:rPr>
          <w:rFonts w:ascii="Garamond" w:hAnsi="Garamond" w:cs="Calibri"/>
        </w:rPr>
      </w:pPr>
    </w:p>
    <w:p w14:paraId="79411C52" w14:textId="77777777" w:rsidR="00756242" w:rsidRPr="00160C77" w:rsidRDefault="00756242" w:rsidP="00756242">
      <w:pPr>
        <w:pStyle w:val="PlainText"/>
        <w:rPr>
          <w:szCs w:val="24"/>
        </w:rPr>
      </w:pPr>
    </w:p>
    <w:sectPr w:rsidR="00756242" w:rsidRPr="00160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242"/>
    <w:rsid w:val="00042357"/>
    <w:rsid w:val="00084D51"/>
    <w:rsid w:val="00160C77"/>
    <w:rsid w:val="001969DB"/>
    <w:rsid w:val="00214972"/>
    <w:rsid w:val="002954A4"/>
    <w:rsid w:val="00313A25"/>
    <w:rsid w:val="00360787"/>
    <w:rsid w:val="003F20C1"/>
    <w:rsid w:val="00410EF8"/>
    <w:rsid w:val="004B4ACD"/>
    <w:rsid w:val="004E2FA8"/>
    <w:rsid w:val="00586C7A"/>
    <w:rsid w:val="005A56EA"/>
    <w:rsid w:val="006134D8"/>
    <w:rsid w:val="00655B2F"/>
    <w:rsid w:val="00655F2E"/>
    <w:rsid w:val="00690583"/>
    <w:rsid w:val="00752584"/>
    <w:rsid w:val="00756242"/>
    <w:rsid w:val="00791451"/>
    <w:rsid w:val="00862864"/>
    <w:rsid w:val="009A2258"/>
    <w:rsid w:val="00A8675B"/>
    <w:rsid w:val="00A92F1F"/>
    <w:rsid w:val="00A97D33"/>
    <w:rsid w:val="00AC32B5"/>
    <w:rsid w:val="00AC7D94"/>
    <w:rsid w:val="00CB592A"/>
    <w:rsid w:val="00CD0C4A"/>
    <w:rsid w:val="00D75476"/>
    <w:rsid w:val="00E26343"/>
    <w:rsid w:val="00F051F0"/>
    <w:rsid w:val="00F74510"/>
    <w:rsid w:val="00FB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8C143"/>
  <w15:docId w15:val="{30B8123B-1D57-4080-AE54-B2BE19285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756242"/>
    <w:pPr>
      <w:spacing w:after="0" w:line="240" w:lineRule="auto"/>
    </w:pPr>
    <w:rPr>
      <w:rFonts w:ascii="Garamond" w:hAnsi="Garamond"/>
      <w:color w:val="000000" w:themeColor="text1"/>
      <w:sz w:val="24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56242"/>
    <w:rPr>
      <w:rFonts w:ascii="Garamond" w:hAnsi="Garamond"/>
      <w:color w:val="000000" w:themeColor="text1"/>
      <w:sz w:val="24"/>
      <w:szCs w:val="21"/>
    </w:rPr>
  </w:style>
  <w:style w:type="paragraph" w:customStyle="1" w:styleId="Default">
    <w:name w:val="Default"/>
    <w:rsid w:val="0075624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7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Scott</dc:creator>
  <cp:lastModifiedBy>Michelle Piotrowski</cp:lastModifiedBy>
  <cp:revision>2</cp:revision>
  <cp:lastPrinted>2013-08-13T14:10:00Z</cp:lastPrinted>
  <dcterms:created xsi:type="dcterms:W3CDTF">2022-04-20T23:17:00Z</dcterms:created>
  <dcterms:modified xsi:type="dcterms:W3CDTF">2022-04-20T23:17:00Z</dcterms:modified>
</cp:coreProperties>
</file>